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17 октября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822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– </w:t>
      </w:r>
      <w:r>
        <w:rPr>
          <w:rFonts w:ascii="Times New Roman" w:eastAsia="Times New Roman" w:hAnsi="Times New Roman" w:cs="Times New Roman"/>
        </w:rPr>
        <w:t xml:space="preserve">бухгалтера ООО «НИРТА ТЕХНОЛОДЖИ»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Лабеко</w:t>
      </w:r>
      <w:r>
        <w:rPr>
          <w:rFonts w:ascii="Times New Roman" w:eastAsia="Times New Roman" w:hAnsi="Times New Roman" w:cs="Times New Roman"/>
          <w:b/>
          <w:bCs/>
        </w:rPr>
        <w:t xml:space="preserve"> Натальи Петровны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Лабеко</w:t>
      </w:r>
      <w:r>
        <w:rPr>
          <w:rFonts w:ascii="Times New Roman" w:eastAsia="Times New Roman" w:hAnsi="Times New Roman" w:cs="Times New Roman"/>
        </w:rPr>
        <w:t xml:space="preserve"> Н.П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бухгалтера ООО «НИРТА ТЕХНОЛОДЖИ»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Промышленная</w:t>
      </w:r>
      <w:r>
        <w:rPr>
          <w:rFonts w:ascii="Times New Roman" w:eastAsia="Times New Roman" w:hAnsi="Times New Roman" w:cs="Times New Roman"/>
        </w:rPr>
        <w:t>, зд.19, офис 007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предоставила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Style w:val="cat-UserDefinedgrp-21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 xml:space="preserve">Фонда пенсионного и социального страхования Российской Федерации по Ханты-Мансийскому автономному округу-Югре, чем нарушила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и п.6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15.07.2025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Лабеко</w:t>
      </w:r>
      <w:r>
        <w:rPr>
          <w:rFonts w:ascii="Times New Roman" w:eastAsia="Times New Roman" w:hAnsi="Times New Roman" w:cs="Times New Roman"/>
        </w:rPr>
        <w:t xml:space="preserve"> Н.П</w:t>
      </w:r>
      <w:r>
        <w:rPr>
          <w:rFonts w:ascii="Times New Roman" w:eastAsia="Times New Roman" w:hAnsi="Times New Roman" w:cs="Times New Roman"/>
        </w:rPr>
        <w:t>. не явилась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нее не поступило,</w:t>
      </w:r>
      <w:r>
        <w:rPr>
          <w:rFonts w:ascii="Times New Roman" w:eastAsia="Times New Roman" w:hAnsi="Times New Roman" w:cs="Times New Roman"/>
        </w:rPr>
        <w:t xml:space="preserve"> уважительная причина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своего </w:t>
      </w:r>
      <w:r>
        <w:rPr>
          <w:rFonts w:ascii="Times New Roman" w:eastAsia="Times New Roman" w:hAnsi="Times New Roman" w:cs="Times New Roman"/>
        </w:rPr>
        <w:t>представителя, будучи извещенной</w:t>
      </w:r>
      <w:r>
        <w:rPr>
          <w:rFonts w:ascii="Times New Roman" w:eastAsia="Times New Roman" w:hAnsi="Times New Roman" w:cs="Times New Roman"/>
        </w:rPr>
        <w:t xml:space="preserve"> о судеб</w:t>
      </w:r>
      <w:r>
        <w:rPr>
          <w:rFonts w:ascii="Times New Roman" w:eastAsia="Times New Roman" w:hAnsi="Times New Roman" w:cs="Times New Roman"/>
        </w:rPr>
        <w:t>ном заседании, не воспользовалась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Лабеко</w:t>
      </w:r>
      <w:r>
        <w:rPr>
          <w:rFonts w:ascii="Times New Roman" w:eastAsia="Times New Roman" w:hAnsi="Times New Roman" w:cs="Times New Roman"/>
        </w:rPr>
        <w:t xml:space="preserve"> Н.П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15.07.2025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отчетности по форме </w:t>
      </w:r>
      <w:r>
        <w:rPr>
          <w:rFonts w:ascii="Times New Roman" w:eastAsia="Times New Roman" w:hAnsi="Times New Roman" w:cs="Times New Roman"/>
        </w:rPr>
        <w:t xml:space="preserve">ЕФС-1 раздел 1, подраздел 1.1 </w:t>
      </w:r>
      <w:r>
        <w:rPr>
          <w:rFonts w:ascii="Times New Roman" w:eastAsia="Times New Roman" w:hAnsi="Times New Roman" w:cs="Times New Roman"/>
        </w:rPr>
        <w:t>с квитанцией о регистрации;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копией трудового договора №6 от 02.12.2024 г.;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Лабеко</w:t>
      </w:r>
      <w:r>
        <w:rPr>
          <w:rFonts w:ascii="Times New Roman" w:eastAsia="Times New Roman" w:hAnsi="Times New Roman" w:cs="Times New Roman"/>
        </w:rPr>
        <w:t xml:space="preserve"> Н.П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Лабеко</w:t>
      </w:r>
      <w:r>
        <w:rPr>
          <w:rFonts w:ascii="Times New Roman" w:eastAsia="Times New Roman" w:hAnsi="Times New Roman" w:cs="Times New Roman"/>
        </w:rPr>
        <w:t xml:space="preserve"> Н.П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бухгалтера ООО «НИРТА </w:t>
      </w:r>
      <w:r>
        <w:rPr>
          <w:rFonts w:ascii="Times New Roman" w:eastAsia="Times New Roman" w:hAnsi="Times New Roman" w:cs="Times New Roman"/>
        </w:rPr>
        <w:t xml:space="preserve">ТЕХНОЛОДЖИ»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Лабеко</w:t>
      </w:r>
      <w:r>
        <w:rPr>
          <w:rFonts w:ascii="Times New Roman" w:eastAsia="Times New Roman" w:hAnsi="Times New Roman" w:cs="Times New Roman"/>
          <w:b/>
          <w:bCs/>
        </w:rPr>
        <w:t xml:space="preserve"> Наталью Петровну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>мировую судью в течение 10 суток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г.Ханты-Мансийск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321132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29rplc-37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9rplc-37">
    <w:name w:val="cat-UserDefined grp-29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